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ptos" w:cs="Aptos" w:eastAsia="Aptos" w:hAnsi="Aptos"/>
          <w:b w:val="1"/>
          <w:color w:val="000000"/>
          <w:sz w:val="28"/>
          <w:szCs w:val="28"/>
        </w:rPr>
      </w:pPr>
      <w:r w:rsidDel="00000000" w:rsidR="00000000" w:rsidRPr="00000000">
        <w:rPr>
          <w:rFonts w:ascii="Aptos" w:cs="Aptos" w:eastAsia="Aptos" w:hAnsi="Aptos"/>
          <w:b w:val="1"/>
          <w:color w:val="000000"/>
          <w:sz w:val="28"/>
          <w:szCs w:val="28"/>
          <w:rtl w:val="0"/>
        </w:rPr>
        <w:t xml:space="preserve">Kivi revoluciona la publicidad digital de casinos en línea con tecnología Track TV</w:t>
      </w:r>
    </w:p>
    <w:p w:rsidR="00000000" w:rsidDel="00000000" w:rsidP="00000000" w:rsidRDefault="00000000" w:rsidRPr="00000000" w14:paraId="00000002">
      <w:pPr>
        <w:jc w:val="both"/>
        <w:rPr>
          <w:rFonts w:ascii="Arial" w:cs="Arial" w:eastAsia="Arial" w:hAnsi="Arial"/>
          <w:color w:val="000000"/>
          <w:sz w:val="22"/>
          <w:szCs w:val="22"/>
        </w:rPr>
      </w:pPr>
      <w:r w:rsidDel="00000000" w:rsidR="00000000" w:rsidRPr="00000000">
        <w:rPr>
          <w:rFonts w:ascii="Arial" w:cs="Arial" w:eastAsia="Arial" w:hAnsi="Arial"/>
          <w:b w:val="1"/>
          <w:sz w:val="22"/>
          <w:szCs w:val="22"/>
          <w:rtl w:val="0"/>
        </w:rPr>
        <w:t xml:space="preserve">Ciudad de México, 25 de septiembre de 2024.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000000"/>
          <w:sz w:val="22"/>
          <w:szCs w:val="22"/>
          <w:rtl w:val="0"/>
        </w:rPr>
        <w:t xml:space="preserve">La industria de los casinos en línea está experimentando un notable crecimiento en México, con proyecciones que podrían alcanzar hasta 4.5 mil millones de dólares en el país, según </w:t>
      </w:r>
      <w:hyperlink r:id="rId7">
        <w:r w:rsidDel="00000000" w:rsidR="00000000" w:rsidRPr="00000000">
          <w:rPr>
            <w:rFonts w:ascii="Arial" w:cs="Arial" w:eastAsia="Arial" w:hAnsi="Arial"/>
            <w:color w:val="467886"/>
            <w:sz w:val="22"/>
            <w:szCs w:val="22"/>
            <w:u w:val="single"/>
            <w:rtl w:val="0"/>
          </w:rPr>
          <w:t xml:space="preserve">ENV Media Research</w:t>
        </w:r>
      </w:hyperlink>
      <w:r w:rsidDel="00000000" w:rsidR="00000000" w:rsidRPr="00000000">
        <w:rPr>
          <w:rFonts w:ascii="Arial" w:cs="Arial" w:eastAsia="Arial" w:hAnsi="Arial"/>
          <w:color w:val="000000"/>
          <w:sz w:val="22"/>
          <w:szCs w:val="22"/>
          <w:rtl w:val="0"/>
        </w:rPr>
        <w:t xml:space="preserve">. La publicidad en este sector enfrenta desafíos únicos, especialmente en cuanto a regulación y responsabilidad. En este contexto, Kivi, la </w:t>
      </w:r>
      <w:r w:rsidDel="00000000" w:rsidR="00000000" w:rsidRPr="00000000">
        <w:rPr>
          <w:rFonts w:ascii="Arial" w:cs="Arial" w:eastAsia="Arial" w:hAnsi="Arial"/>
          <w:i w:val="1"/>
          <w:color w:val="000000"/>
          <w:sz w:val="22"/>
          <w:szCs w:val="22"/>
          <w:rtl w:val="0"/>
        </w:rPr>
        <w:t xml:space="preserve">Ad-Tech </w:t>
      </w:r>
      <w:r w:rsidDel="00000000" w:rsidR="00000000" w:rsidRPr="00000000">
        <w:rPr>
          <w:rFonts w:ascii="Arial" w:cs="Arial" w:eastAsia="Arial" w:hAnsi="Arial"/>
          <w:color w:val="000000"/>
          <w:sz w:val="22"/>
          <w:szCs w:val="22"/>
          <w:rtl w:val="0"/>
        </w:rPr>
        <w:t xml:space="preserve">especializada en </w:t>
      </w:r>
      <w:r w:rsidDel="00000000" w:rsidR="00000000" w:rsidRPr="00000000">
        <w:rPr>
          <w:rFonts w:ascii="Arial" w:cs="Arial" w:eastAsia="Arial" w:hAnsi="Arial"/>
          <w:i w:val="1"/>
          <w:color w:val="000000"/>
          <w:sz w:val="22"/>
          <w:szCs w:val="22"/>
          <w:rtl w:val="0"/>
        </w:rPr>
        <w:t xml:space="preserve">Connected TV</w:t>
      </w:r>
      <w:r w:rsidDel="00000000" w:rsidR="00000000" w:rsidRPr="00000000">
        <w:rPr>
          <w:rFonts w:ascii="Arial" w:cs="Arial" w:eastAsia="Arial" w:hAnsi="Arial"/>
          <w:color w:val="000000"/>
          <w:sz w:val="22"/>
          <w:szCs w:val="22"/>
          <w:rtl w:val="0"/>
        </w:rPr>
        <w:t xml:space="preserve"> (CTV), ha emergido como un líder clave al ofrecer soluciones innovadoras que equilibran el cumplimiento normativo con la efectividad publicitaria. </w:t>
      </w:r>
    </w:p>
    <w:p w:rsidR="00000000" w:rsidDel="00000000" w:rsidP="00000000" w:rsidRDefault="00000000" w:rsidRPr="00000000" w14:paraId="0000000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Los juegos y casinos en línea viven un nuevo auge debido al uso de tecnología al igual que la televisión conectada o </w:t>
      </w:r>
      <w:r w:rsidDel="00000000" w:rsidR="00000000" w:rsidRPr="00000000">
        <w:rPr>
          <w:rFonts w:ascii="Arial" w:cs="Arial" w:eastAsia="Arial" w:hAnsi="Arial"/>
          <w:i w:val="1"/>
          <w:sz w:val="22"/>
          <w:szCs w:val="22"/>
          <w:rtl w:val="0"/>
        </w:rPr>
        <w:t xml:space="preserve">Connected TV</w:t>
      </w:r>
      <w:r w:rsidDel="00000000" w:rsidR="00000000" w:rsidRPr="00000000">
        <w:rPr>
          <w:rFonts w:ascii="Arial" w:cs="Arial" w:eastAsia="Arial" w:hAnsi="Arial"/>
          <w:sz w:val="22"/>
          <w:szCs w:val="22"/>
          <w:rtl w:val="0"/>
        </w:rPr>
        <w:t xml:space="preserve"> (CTV), es decir, esta industria ya es conocida por el público como en su momento ocurrió con los televisores, sin embargo, ahora tiene una transformación y adaptación que ha generado un renacimiento de nuevas oportunidades, al igual que sus propias regulaciones. </w:t>
      </w:r>
    </w:p>
    <w:p w:rsidR="00000000" w:rsidDel="00000000" w:rsidP="00000000" w:rsidRDefault="00000000" w:rsidRPr="00000000" w14:paraId="00000004">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televisión conectada (CTV), al igual que los casinos en línea, ha sido parte de la vida de los consumidores durante años, pero ambos sectores han visto un renacimiento gracias a la tecnología. En el caso de CTV, la transición de la televisión tradicional a un formato más interactivo y segmentado ha revolucionado la forma en que las marcas se conectan con los espectadores. Del mismo modo, los casinos en línea han dejado atrás su imagen tradicional para adaptarse a un entorno digital más seguro y controlado, donde la regulación es esencial.</w:t>
      </w:r>
    </w:p>
    <w:p w:rsidR="00000000" w:rsidDel="00000000" w:rsidP="00000000" w:rsidRDefault="00000000" w:rsidRPr="00000000" w14:paraId="00000005">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México, los casinos en línea están regulados por la Secretaría de Gobernación, bajo la </w:t>
      </w:r>
      <w:hyperlink r:id="rId8">
        <w:r w:rsidDel="00000000" w:rsidR="00000000" w:rsidRPr="00000000">
          <w:rPr>
            <w:rFonts w:ascii="Arial" w:cs="Arial" w:eastAsia="Arial" w:hAnsi="Arial"/>
            <w:color w:val="467886"/>
            <w:sz w:val="22"/>
            <w:szCs w:val="22"/>
            <w:u w:val="single"/>
            <w:rtl w:val="0"/>
          </w:rPr>
          <w:t xml:space="preserve">Ley de Juegos y Sorteos</w:t>
        </w:r>
      </w:hyperlink>
      <w:r w:rsidDel="00000000" w:rsidR="00000000" w:rsidRPr="00000000">
        <w:rPr>
          <w:rFonts w:ascii="Arial" w:cs="Arial" w:eastAsia="Arial" w:hAnsi="Arial"/>
          <w:sz w:val="22"/>
          <w:szCs w:val="22"/>
          <w:rtl w:val="0"/>
        </w:rPr>
        <w:t xml:space="preserve">. Esta normativa no solo regula las operaciones de juego, sino también la publicidad, que debe cumplir con la protección a los usuarios. </w:t>
      </w:r>
    </w:p>
    <w:p w:rsidR="00000000" w:rsidDel="00000000" w:rsidP="00000000" w:rsidRDefault="00000000" w:rsidRPr="00000000" w14:paraId="00000006">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Frente a este arbitraje, la publicidad en CTV ha encontrado una manera de adaptarse a estas regulaciones, brindando nuevas oportunidades para las marcas de casinos en línea. Kivi, la </w:t>
      </w:r>
      <w:r w:rsidDel="00000000" w:rsidR="00000000" w:rsidRPr="00000000">
        <w:rPr>
          <w:rFonts w:ascii="Arial" w:cs="Arial" w:eastAsia="Arial" w:hAnsi="Arial"/>
          <w:i w:val="1"/>
          <w:sz w:val="22"/>
          <w:szCs w:val="22"/>
          <w:rtl w:val="0"/>
        </w:rPr>
        <w:t xml:space="preserve">Ad-Tech</w:t>
      </w:r>
      <w:r w:rsidDel="00000000" w:rsidR="00000000" w:rsidRPr="00000000">
        <w:rPr>
          <w:rFonts w:ascii="Arial" w:cs="Arial" w:eastAsia="Arial" w:hAnsi="Arial"/>
          <w:sz w:val="22"/>
          <w:szCs w:val="22"/>
          <w:rtl w:val="0"/>
        </w:rPr>
        <w:t xml:space="preserve"> especializada en CTV en América Latina, ha logrado equilibrar con éxito las estrictas reglas aplicadas a la industria de los juegos en línea con la precisión y respetando las normativas de las autoridades. </w:t>
      </w:r>
    </w:p>
    <w:p w:rsidR="00000000" w:rsidDel="00000000" w:rsidP="00000000" w:rsidRDefault="00000000" w:rsidRPr="00000000" w14:paraId="00000007">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 claro ejemplo de esto es el </w:t>
      </w:r>
      <w:hyperlink r:id="rId9">
        <w:r w:rsidDel="00000000" w:rsidR="00000000" w:rsidRPr="00000000">
          <w:rPr>
            <w:rFonts w:ascii="Arial" w:cs="Arial" w:eastAsia="Arial" w:hAnsi="Arial"/>
            <w:color w:val="467886"/>
            <w:sz w:val="22"/>
            <w:szCs w:val="22"/>
            <w:u w:val="single"/>
            <w:rtl w:val="0"/>
          </w:rPr>
          <w:t xml:space="preserve">caso de éxito de Strendus</w:t>
        </w:r>
      </w:hyperlink>
      <w:r w:rsidDel="00000000" w:rsidR="00000000" w:rsidRPr="00000000">
        <w:rPr>
          <w:rFonts w:ascii="Arial" w:cs="Arial" w:eastAsia="Arial" w:hAnsi="Arial"/>
          <w:sz w:val="22"/>
          <w:szCs w:val="22"/>
          <w:rtl w:val="0"/>
        </w:rPr>
        <w:t xml:space="preserve">, un casino online de </w:t>
      </w:r>
      <w:r w:rsidDel="00000000" w:rsidR="00000000" w:rsidRPr="00000000">
        <w:rPr>
          <w:rFonts w:ascii="Arial" w:cs="Arial" w:eastAsia="Arial" w:hAnsi="Arial"/>
          <w:sz w:val="22"/>
          <w:szCs w:val="22"/>
          <w:rtl w:val="0"/>
        </w:rPr>
        <w:t xml:space="preserve">Grupo </w:t>
      </w:r>
      <w:r w:rsidDel="00000000" w:rsidR="00000000" w:rsidRPr="00000000">
        <w:rPr>
          <w:rFonts w:ascii="Arial" w:cs="Arial" w:eastAsia="Arial" w:hAnsi="Arial"/>
          <w:sz w:val="22"/>
          <w:szCs w:val="22"/>
          <w:rtl w:val="0"/>
        </w:rPr>
        <w:t xml:space="preserve">Logrand</w:t>
      </w: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sz w:val="22"/>
          <w:szCs w:val="22"/>
          <w:rtl w:val="0"/>
        </w:rPr>
        <w:t xml:space="preserve"> que implementó la innovadora herramienta de Kivi, Track TV, diseñada para optimizar las campañas publicitarias a través del </w:t>
      </w:r>
      <w:r w:rsidDel="00000000" w:rsidR="00000000" w:rsidRPr="00000000">
        <w:rPr>
          <w:rFonts w:ascii="Arial" w:cs="Arial" w:eastAsia="Arial" w:hAnsi="Arial"/>
          <w:i w:val="1"/>
          <w:sz w:val="22"/>
          <w:szCs w:val="22"/>
          <w:rtl w:val="0"/>
        </w:rPr>
        <w:t xml:space="preserve">streaming</w:t>
      </w:r>
      <w:r w:rsidDel="00000000" w:rsidR="00000000" w:rsidRPr="00000000">
        <w:rPr>
          <w:rFonts w:ascii="Arial" w:cs="Arial" w:eastAsia="Arial" w:hAnsi="Arial"/>
          <w:sz w:val="22"/>
          <w:szCs w:val="22"/>
          <w:rtl w:val="0"/>
        </w:rPr>
        <w:t xml:space="preserve">. A diferencia de la televisión tradicional, Track TV permite una segmentación precisa y una medición detallada de la interacción del usuario. </w:t>
      </w:r>
    </w:p>
    <w:p w:rsidR="00000000" w:rsidDel="00000000" w:rsidP="00000000" w:rsidRDefault="00000000" w:rsidRPr="00000000" w14:paraId="00000008">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Durante los meses de marzo y abril, Strendus utilizó Track TV para medir la captación de usuarios únicos y recurrentes en su página de registro. Los resultados fueron notables: en marzo, la campaña generó 37,797 eventos registrados, con una tasa de eventos del 8.84%. Impulsada por este éxito inicial, la empresa decidió expandir la campaña en abril, logrando un crecimiento exponencial con 1,251,596 eventos registrados y una tasa de eventos del 34.2%.</w:t>
      </w:r>
    </w:p>
    <w:p w:rsidR="00000000" w:rsidDel="00000000" w:rsidP="00000000" w:rsidRDefault="00000000" w:rsidRPr="00000000" w14:paraId="00000009">
      <w:pP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Este caso demuestra cómo Kivi, con su herramienta Track TV, ha sido capaz de encontrar un equilibrio entre las exigencias regulatorias y la necesidad de resultados efectivos. Al segmentar de manera adecuada a su audiencia, garantizando que solo personas mayores de edad accedan a los juegos en línea, y optimizando las campañas publicitarias, Kivi ha logrado generar un impacto significativo para Strendus, todo dentro del marco de responsabilidad y legalidad que exige la industria. </w:t>
      </w:r>
    </w:p>
    <w:p w:rsidR="00000000" w:rsidDel="00000000" w:rsidP="00000000" w:rsidRDefault="00000000" w:rsidRPr="00000000" w14:paraId="0000000A">
      <w:pPr>
        <w:jc w:val="center"/>
        <w:rPr/>
      </w:pPr>
      <w:r w:rsidDel="00000000" w:rsidR="00000000" w:rsidRPr="00000000">
        <w:rPr>
          <w:rtl w:val="0"/>
        </w:rPr>
        <w:t xml:space="preserve">-o0o-</w:t>
      </w:r>
    </w:p>
    <w:p w:rsidR="00000000" w:rsidDel="00000000" w:rsidP="00000000" w:rsidRDefault="00000000" w:rsidRPr="00000000" w14:paraId="0000000B">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Acerca de</w:t>
      </w:r>
      <w:hyperlink r:id="rId10">
        <w:r w:rsidDel="00000000" w:rsidR="00000000" w:rsidRPr="00000000">
          <w:rPr>
            <w:rFonts w:ascii="Arial" w:cs="Arial" w:eastAsia="Arial" w:hAnsi="Arial"/>
            <w:b w:val="0"/>
            <w:i w:val="0"/>
            <w:smallCaps w:val="0"/>
            <w:strike w:val="0"/>
            <w:color w:val="467886"/>
            <w:sz w:val="20"/>
            <w:szCs w:val="20"/>
            <w:u w:val="single"/>
            <w:rtl w:val="0"/>
          </w:rPr>
          <w:t xml:space="preserve"> Kivi.</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0C">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1">
        <w:r w:rsidDel="00000000" w:rsidR="00000000" w:rsidRPr="00000000">
          <w:rPr>
            <w:rFonts w:ascii="Arial" w:cs="Arial" w:eastAsia="Arial" w:hAnsi="Arial"/>
            <w:b w:val="0"/>
            <w:i w:val="0"/>
            <w:smallCaps w:val="0"/>
            <w:strike w:val="0"/>
            <w:color w:val="467886"/>
            <w:sz w:val="20"/>
            <w:szCs w:val="20"/>
            <w:u w:val="single"/>
            <w:rtl w:val="0"/>
          </w:rPr>
          <w:t xml:space="preserve"> https://www.kivi.tv/.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0D">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Síguenos: </w:t>
      </w:r>
    </w:p>
    <w:p w:rsidR="00000000" w:rsidDel="00000000" w:rsidP="00000000" w:rsidRDefault="00000000" w:rsidRPr="00000000" w14:paraId="0000000E">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Instagram:</w:t>
      </w:r>
      <w:hyperlink r:id="rId12">
        <w:r w:rsidDel="00000000" w:rsidR="00000000" w:rsidRPr="00000000">
          <w:rPr>
            <w:rFonts w:ascii="Arial" w:cs="Arial" w:eastAsia="Arial" w:hAnsi="Arial"/>
            <w:b w:val="0"/>
            <w:i w:val="0"/>
            <w:smallCaps w:val="0"/>
            <w:strike w:val="0"/>
            <w:color w:val="467886"/>
            <w:sz w:val="20"/>
            <w:szCs w:val="20"/>
            <w:u w:val="single"/>
            <w:rtl w:val="0"/>
          </w:rPr>
          <w:t xml:space="preserve"> https://www.instagram.com/kivi.squad/</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0F">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LinkedIn:</w:t>
      </w:r>
      <w:hyperlink r:id="rId13">
        <w:r w:rsidDel="00000000" w:rsidR="00000000" w:rsidRPr="00000000">
          <w:rPr>
            <w:rFonts w:ascii="Arial" w:cs="Arial" w:eastAsia="Arial" w:hAnsi="Arial"/>
            <w:b w:val="0"/>
            <w:i w:val="0"/>
            <w:smallCaps w:val="0"/>
            <w:strike w:val="0"/>
            <w:color w:val="467886"/>
            <w:sz w:val="20"/>
            <w:szCs w:val="20"/>
            <w:u w:val="single"/>
            <w:rtl w:val="0"/>
          </w:rPr>
          <w:t xml:space="preserve"> https://www.linkedin.com/company/kivitv/</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0">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1">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  </w:t>
      </w:r>
      <w:r w:rsidDel="00000000" w:rsidR="00000000" w:rsidRPr="00000000">
        <w:rPr>
          <w:rtl w:val="0"/>
        </w:rPr>
      </w:r>
    </w:p>
    <w:p w:rsidR="00000000" w:rsidDel="00000000" w:rsidP="00000000" w:rsidRDefault="00000000" w:rsidRPr="00000000" w14:paraId="00000012">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another </w:t>
      </w:r>
      <w:r w:rsidDel="00000000" w:rsidR="00000000" w:rsidRPr="00000000">
        <w:rPr>
          <w:rtl w:val="0"/>
        </w:rPr>
        <w:br w:type="textWrapping"/>
      </w:r>
      <w:r w:rsidDel="00000000" w:rsidR="00000000" w:rsidRPr="00000000">
        <w:rPr>
          <w:rFonts w:ascii="Arial" w:cs="Arial" w:eastAsia="Arial" w:hAnsi="Arial"/>
          <w:b w:val="0"/>
          <w:i w:val="0"/>
          <w:smallCaps w:val="0"/>
          <w:color w:val="000000"/>
          <w:sz w:val="20"/>
          <w:szCs w:val="20"/>
          <w:rtl w:val="0"/>
        </w:rPr>
        <w:t xml:space="preserve">Michelle de la Torre</w:t>
      </w:r>
    </w:p>
    <w:p w:rsidR="00000000" w:rsidDel="00000000" w:rsidP="00000000" w:rsidRDefault="00000000" w:rsidRPr="00000000" w14:paraId="00000013">
      <w:pPr>
        <w:spacing w:after="160" w:line="279" w:lineRule="auto"/>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Sr. PR Expert</w:t>
      </w:r>
      <w:r w:rsidDel="00000000" w:rsidR="00000000" w:rsidRPr="00000000">
        <w:rPr>
          <w:rtl w:val="0"/>
        </w:rPr>
        <w:br w:type="textWrapping"/>
      </w:r>
      <w:hyperlink r:id="rId14">
        <w:r w:rsidDel="00000000" w:rsidR="00000000" w:rsidRPr="00000000">
          <w:rPr>
            <w:rFonts w:ascii="Arial" w:cs="Arial" w:eastAsia="Arial" w:hAnsi="Arial"/>
            <w:b w:val="0"/>
            <w:i w:val="0"/>
            <w:smallCaps w:val="0"/>
            <w:strike w:val="0"/>
            <w:color w:val="467886"/>
            <w:sz w:val="20"/>
            <w:szCs w:val="20"/>
            <w:u w:val="single"/>
            <w:rtl w:val="0"/>
          </w:rPr>
          <w:t xml:space="preserve">michelle.delatorre@another.co</w:t>
        </w:r>
      </w:hyperlink>
      <w:hyperlink r:id="rId15">
        <w:r w:rsidDel="00000000" w:rsidR="00000000" w:rsidRPr="00000000">
          <w:rPr>
            <w:rtl w:val="0"/>
          </w:rPr>
          <w:br w:type="textWrapping"/>
        </w:r>
      </w:hyperlink>
      <w:hyperlink r:id="rId16">
        <w:r w:rsidDel="00000000" w:rsidR="00000000" w:rsidRPr="00000000">
          <w:rPr>
            <w:rFonts w:ascii="Arial" w:cs="Arial" w:eastAsia="Arial" w:hAnsi="Arial"/>
            <w:b w:val="0"/>
            <w:i w:val="0"/>
            <w:smallCaps w:val="0"/>
            <w:strike w:val="0"/>
            <w:color w:val="467886"/>
            <w:sz w:val="20"/>
            <w:szCs w:val="20"/>
            <w:u w:val="single"/>
            <w:rtl w:val="0"/>
          </w:rPr>
          <w:t xml:space="preserve">5543154847</w:t>
        </w:r>
      </w:hyperlink>
      <w:r w:rsidDel="00000000" w:rsidR="00000000" w:rsidRPr="00000000">
        <w:rPr>
          <w:rtl w:val="0"/>
        </w:rPr>
      </w:r>
    </w:p>
    <w:p w:rsidR="00000000" w:rsidDel="00000000" w:rsidP="00000000" w:rsidRDefault="00000000" w:rsidRPr="00000000" w14:paraId="00000014">
      <w:pPr>
        <w:spacing w:after="160" w:line="279" w:lineRule="auto"/>
        <w:jc w:val="both"/>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7" w:type="default"/>
      <w:footerReference r:id="rId1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4810125</wp:posOffset>
          </wp:positionH>
          <wp:positionV relativeFrom="paragraph">
            <wp:posOffset>-133349</wp:posOffset>
          </wp:positionV>
          <wp:extent cx="818826" cy="530825"/>
          <wp:effectExtent b="0" l="0" r="0" t="0"/>
          <wp:wrapNone/>
          <wp:docPr id="1874601506" name="image1.png"/>
          <a:graphic>
            <a:graphicData uri="http://schemas.openxmlformats.org/drawingml/2006/picture">
              <pic:pic>
                <pic:nvPicPr>
                  <pic:cNvPr id="0" name="image1.png"/>
                  <pic:cNvPicPr preferRelativeResize="0"/>
                </pic:nvPicPr>
                <pic:blipFill>
                  <a:blip r:embed="rId1"/>
                  <a:srcRect b="31200" l="20493" r="21481" t="31200"/>
                  <a:stretch>
                    <a:fillRect/>
                  </a:stretch>
                </pic:blipFill>
                <pic:spPr>
                  <a:xfrm>
                    <a:off x="0" y="0"/>
                    <a:ext cx="818826" cy="530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kivi.tv/" TargetMode="External"/><Relationship Id="rId13" Type="http://schemas.openxmlformats.org/officeDocument/2006/relationships/hyperlink" Target="https://www.linkedin.com/company/kivitv/" TargetMode="External"/><Relationship Id="rId12" Type="http://schemas.openxmlformats.org/officeDocument/2006/relationships/hyperlink" Target="https://www.instagram.com/kivi.squa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kivi.tv/es-es/strendus" TargetMode="External"/><Relationship Id="rId15" Type="http://schemas.openxmlformats.org/officeDocument/2006/relationships/hyperlink" Target="mailto:michelle.delatorre@another.co" TargetMode="External"/><Relationship Id="rId14" Type="http://schemas.openxmlformats.org/officeDocument/2006/relationships/hyperlink" Target="mailto:michelle.delatorre@another.co" TargetMode="External"/><Relationship Id="rId17" Type="http://schemas.openxmlformats.org/officeDocument/2006/relationships/header" Target="header1.xml"/><Relationship Id="rId16" Type="http://schemas.openxmlformats.org/officeDocument/2006/relationships/hyperlink" Target="tel:5543154847"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env.media/mexico-gambling-market-overview/" TargetMode="External"/><Relationship Id="rId8" Type="http://schemas.openxmlformats.org/officeDocument/2006/relationships/hyperlink" Target="http://www.juegosysorteos.gob.mx/en/Juegos_y_Sorteos/Mar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MU03b0i3Krvj4m7uQvu6YfPEA==">CgMxLjA4AHIhMWNyUy1xQkpZTV9vR29Fdkc1a1NVZnFNVkdGa1VIN0c3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2024-09-04T04:13:55.0000000Z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